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4B" w:rsidRPr="00C7603E" w:rsidRDefault="003B2EE6" w:rsidP="00C7603E">
      <w:pPr>
        <w:rPr>
          <w:b/>
        </w:rPr>
      </w:pPr>
      <w:r w:rsidRPr="00C7603E">
        <w:rPr>
          <w:b/>
        </w:rPr>
        <w:t>CERTIFICADO DE SEGURO</w:t>
      </w:r>
      <w:r w:rsidR="00EA6BAB" w:rsidRPr="00C7603E">
        <w:rPr>
          <w:b/>
        </w:rPr>
        <w:t xml:space="preserve"> DE RESPONSABILID</w:t>
      </w:r>
      <w:r w:rsidR="00C7603E">
        <w:rPr>
          <w:b/>
        </w:rPr>
        <w:t xml:space="preserve">AD CIVIL PARA FESTEJOS TAURINOS </w:t>
      </w:r>
      <w:r w:rsidR="00EA6BAB" w:rsidRPr="00C7603E">
        <w:rPr>
          <w:b/>
        </w:rPr>
        <w:t>POPULARES</w:t>
      </w:r>
    </w:p>
    <w:p w:rsidR="00EA6BAB" w:rsidRPr="00E2266D" w:rsidRDefault="00EA6BAB">
      <w:pPr>
        <w:rPr>
          <w:rFonts w:asciiTheme="majorHAnsi" w:hAnsiTheme="majorHAnsi"/>
          <w:sz w:val="18"/>
          <w:szCs w:val="18"/>
        </w:rPr>
      </w:pPr>
    </w:p>
    <w:p w:rsidR="00A274E6" w:rsidRPr="00E2266D" w:rsidRDefault="00A274E6" w:rsidP="00A274E6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>D/Dª</w:t>
      </w:r>
      <w:r w:rsidRPr="00C7603E">
        <w:rPr>
          <w:rFonts w:eastAsia="Times New Roman" w:cs="Arial"/>
          <w:i/>
          <w:sz w:val="18"/>
          <w:szCs w:val="18"/>
          <w:lang w:eastAsia="es-ES"/>
        </w:rPr>
        <w:t xml:space="preserve"> (nombre apellidos</w:t>
      </w:r>
      <w:r w:rsidRPr="00C7603E">
        <w:rPr>
          <w:rFonts w:eastAsia="Times New Roman" w:cs="Arial"/>
          <w:sz w:val="18"/>
          <w:szCs w:val="18"/>
          <w:lang w:eastAsia="es-ES"/>
        </w:rPr>
        <w:t>)                                                   , con DNI (…………….………), actuando en nombre y representación de (</w:t>
      </w:r>
      <w:r w:rsidRPr="00C7603E">
        <w:rPr>
          <w:rFonts w:eastAsia="Times New Roman" w:cs="Arial"/>
          <w:i/>
          <w:sz w:val="18"/>
          <w:szCs w:val="18"/>
          <w:lang w:eastAsia="es-ES"/>
        </w:rPr>
        <w:t>nombre de la Compañía Aseguradora</w:t>
      </w:r>
      <w:r w:rsidRPr="00C7603E">
        <w:rPr>
          <w:rFonts w:eastAsia="Times New Roman" w:cs="Arial"/>
          <w:sz w:val="18"/>
          <w:szCs w:val="18"/>
          <w:lang w:eastAsia="es-ES"/>
        </w:rPr>
        <w:t>)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ind w:left="-142" w:firstLine="142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 xml:space="preserve">CERTIFICA: 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hd w:val="clear" w:color="auto" w:fill="FFFFFF"/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>Que los festejos taurinos populares que se van a celebrar, según se relacionan a continuación, en la localidad de..……………………..………, provincia de ……………….., organizados por  (</w:t>
      </w:r>
      <w:r w:rsidRPr="00C7603E">
        <w:rPr>
          <w:rFonts w:eastAsia="Times New Roman" w:cs="Arial"/>
          <w:i/>
          <w:sz w:val="18"/>
          <w:szCs w:val="18"/>
          <w:lang w:eastAsia="es-ES"/>
        </w:rPr>
        <w:t>nombre del Ayuntamiento o de persona física o jurídica que los organice</w:t>
      </w:r>
      <w:r w:rsidRPr="00C7603E">
        <w:rPr>
          <w:rFonts w:eastAsia="Times New Roman" w:cs="Arial"/>
          <w:sz w:val="18"/>
          <w:szCs w:val="18"/>
          <w:lang w:eastAsia="es-ES"/>
        </w:rPr>
        <w:t>), están asegurados en la entidad (</w:t>
      </w:r>
      <w:r w:rsidRPr="00C7603E">
        <w:rPr>
          <w:rFonts w:eastAsia="Times New Roman" w:cs="Arial"/>
          <w:i/>
          <w:sz w:val="18"/>
          <w:szCs w:val="18"/>
          <w:lang w:eastAsia="es-ES"/>
        </w:rPr>
        <w:t>nombre de la Compañía Aseguradora</w:t>
      </w:r>
      <w:r w:rsidRPr="00C7603E">
        <w:rPr>
          <w:rFonts w:eastAsia="Times New Roman" w:cs="Arial"/>
          <w:sz w:val="18"/>
          <w:szCs w:val="18"/>
          <w:lang w:eastAsia="es-ES"/>
        </w:rPr>
        <w:t xml:space="preserve">), </w:t>
      </w:r>
      <w:r w:rsidR="00E2266D" w:rsidRPr="00C7603E">
        <w:rPr>
          <w:rFonts w:eastAsia="Times New Roman" w:cs="Arial"/>
          <w:sz w:val="18"/>
          <w:szCs w:val="18"/>
          <w:lang w:eastAsia="es-ES"/>
        </w:rPr>
        <w:t>conforme con e</w:t>
      </w:r>
      <w:r w:rsidR="00E2266D" w:rsidRPr="00C7603E">
        <w:rPr>
          <w:rFonts w:cs="Arial"/>
          <w:sz w:val="18"/>
          <w:szCs w:val="18"/>
        </w:rPr>
        <w:t>l artículo 7.3,l) del Decreto 226/2201, de 18 de septiembre, del Gobierno de Aragón, por el que se aprueba el Reglamento  de los Festejos Taurinos Populares, según redacción dada</w:t>
      </w:r>
      <w:r w:rsidR="00D13694">
        <w:rPr>
          <w:rFonts w:cs="Arial"/>
          <w:sz w:val="18"/>
          <w:szCs w:val="18"/>
        </w:rPr>
        <w:t xml:space="preserve"> por el </w:t>
      </w:r>
      <w:r w:rsidR="00D13694" w:rsidRPr="00A8257D">
        <w:rPr>
          <w:rFonts w:cs="Arial"/>
          <w:sz w:val="18"/>
          <w:szCs w:val="18"/>
        </w:rPr>
        <w:t xml:space="preserve">Decreto 71/2023, de 17 de mayo,  </w:t>
      </w:r>
      <w:r w:rsidR="00D13694" w:rsidRPr="00A8257D">
        <w:rPr>
          <w:rFonts w:ascii="Calibri" w:hAnsi="Calibri" w:cs="Calibri"/>
          <w:sz w:val="18"/>
          <w:szCs w:val="18"/>
        </w:rPr>
        <w:t>por</w:t>
      </w:r>
      <w:r w:rsidR="00D13694" w:rsidRPr="002D0F99">
        <w:rPr>
          <w:rFonts w:ascii="Calibri" w:hAnsi="Calibri" w:cs="Calibri"/>
          <w:sz w:val="18"/>
          <w:szCs w:val="18"/>
        </w:rPr>
        <w:t xml:space="preserve"> el que se modifica el Reglamento de Festejos taurinos populares, aprobado por el Decreto </w:t>
      </w:r>
      <w:r w:rsidR="00D13694" w:rsidRPr="002D0F99">
        <w:rPr>
          <w:rFonts w:ascii="Calibri" w:hAnsi="Calibri" w:cs="Calibri"/>
          <w:iCs/>
          <w:sz w:val="18"/>
          <w:szCs w:val="18"/>
        </w:rPr>
        <w:t xml:space="preserve">226/2001, de 18 de septiembre, </w:t>
      </w:r>
      <w:r w:rsidR="00D13694" w:rsidRPr="002D0F99">
        <w:rPr>
          <w:rFonts w:ascii="Calibri" w:hAnsi="Calibri" w:cs="Calibri"/>
          <w:sz w:val="18"/>
          <w:szCs w:val="18"/>
        </w:rPr>
        <w:t xml:space="preserve">el Reglamento </w:t>
      </w:r>
      <w:r w:rsidR="00D13694" w:rsidRPr="002D0F99">
        <w:rPr>
          <w:rFonts w:ascii="Calibri" w:hAnsi="Calibri" w:cs="Calibri"/>
          <w:iCs/>
          <w:sz w:val="18"/>
          <w:szCs w:val="18"/>
        </w:rPr>
        <w:t>por el que se regula la autorización y funcionamiento de las plazas de toros portátiles</w:t>
      </w:r>
      <w:r w:rsidR="00D13694" w:rsidRPr="002D0F99">
        <w:rPr>
          <w:rFonts w:ascii="Calibri" w:hAnsi="Calibri" w:cs="Calibri"/>
          <w:sz w:val="18"/>
          <w:szCs w:val="18"/>
        </w:rPr>
        <w:t xml:space="preserve">, aprobado por el </w:t>
      </w:r>
      <w:r w:rsidR="00D13694" w:rsidRPr="002D0F99">
        <w:rPr>
          <w:rFonts w:ascii="Calibri" w:hAnsi="Calibri" w:cs="Calibri"/>
          <w:iCs/>
          <w:sz w:val="18"/>
          <w:szCs w:val="18"/>
        </w:rPr>
        <w:t xml:space="preserve">Decreto 15/2003, de 28 de enero, </w:t>
      </w:r>
      <w:r w:rsidR="00D13694" w:rsidRPr="002D0F99">
        <w:rPr>
          <w:rFonts w:ascii="Calibri" w:hAnsi="Calibri" w:cs="Calibri"/>
          <w:sz w:val="18"/>
          <w:szCs w:val="18"/>
        </w:rPr>
        <w:t xml:space="preserve">y el Reglamento de Escuelas taurinas de Aragón, aprobado por el </w:t>
      </w:r>
      <w:r w:rsidR="00D13694" w:rsidRPr="002D0F99">
        <w:rPr>
          <w:rFonts w:ascii="Calibri" w:hAnsi="Calibri" w:cs="Calibri"/>
          <w:iCs/>
          <w:sz w:val="18"/>
          <w:szCs w:val="18"/>
        </w:rPr>
        <w:t xml:space="preserve">Decreto 16/2003, de 28 de enero, </w:t>
      </w:r>
      <w:r w:rsidR="00D13694" w:rsidRPr="002D0F99">
        <w:rPr>
          <w:rFonts w:ascii="Calibri" w:hAnsi="Calibri" w:cs="Calibri"/>
          <w:sz w:val="18"/>
          <w:szCs w:val="18"/>
        </w:rPr>
        <w:t xml:space="preserve">el Reglamento de Espectáculos taurinos, aprobado por </w:t>
      </w:r>
      <w:r w:rsidR="00D13694" w:rsidRPr="002D0F99">
        <w:rPr>
          <w:rFonts w:ascii="Calibri" w:hAnsi="Calibri" w:cs="Calibri"/>
          <w:iCs/>
          <w:sz w:val="18"/>
          <w:szCs w:val="18"/>
        </w:rPr>
        <w:t>Decreto 223/2004, de 19 de octubre</w:t>
      </w:r>
      <w:r w:rsidR="00D13694">
        <w:rPr>
          <w:rFonts w:ascii="Calibri" w:hAnsi="Calibri" w:cs="Calibri"/>
          <w:iCs/>
          <w:sz w:val="18"/>
          <w:szCs w:val="18"/>
        </w:rPr>
        <w:t>,</w:t>
      </w:r>
      <w:r w:rsidR="00E2266D" w:rsidRPr="00C7603E">
        <w:rPr>
          <w:rFonts w:cs="Arial"/>
          <w:sz w:val="18"/>
          <w:szCs w:val="18"/>
        </w:rPr>
        <w:t xml:space="preserve"> </w:t>
      </w:r>
      <w:r w:rsidRPr="00C7603E">
        <w:rPr>
          <w:rFonts w:eastAsia="Times New Roman" w:cs="Arial"/>
          <w:sz w:val="18"/>
          <w:szCs w:val="18"/>
          <w:lang w:eastAsia="es-ES"/>
        </w:rPr>
        <w:t>póliza nº…………………………., con una vigencia de (fecha de inicio) hasta (fecha de fin de contrato), que incluye expresamente la cobertura de riesgos que pudieran derivarse</w:t>
      </w:r>
      <w:r w:rsidR="003B2EE6" w:rsidRPr="00C7603E">
        <w:rPr>
          <w:rFonts w:eastAsia="Times New Roman" w:cs="Arial"/>
          <w:sz w:val="18"/>
          <w:szCs w:val="18"/>
          <w:lang w:eastAsia="es-ES"/>
        </w:rPr>
        <w:t xml:space="preserve"> de la celebración del festejo al público espectador</w:t>
      </w:r>
      <w:r w:rsidRPr="00C7603E">
        <w:rPr>
          <w:rFonts w:eastAsia="Times New Roman" w:cs="Arial"/>
          <w:sz w:val="18"/>
          <w:szCs w:val="18"/>
          <w:lang w:eastAsia="es-ES"/>
        </w:rPr>
        <w:t xml:space="preserve">, terceras personas y a los bienes. 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 xml:space="preserve">Garantías y Capitales 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>Respon</w:t>
      </w:r>
      <w:r w:rsidR="0050243B" w:rsidRPr="00C7603E">
        <w:rPr>
          <w:rFonts w:eastAsia="Times New Roman" w:cs="Arial"/>
          <w:sz w:val="18"/>
          <w:szCs w:val="18"/>
          <w:lang w:eastAsia="es-ES"/>
        </w:rPr>
        <w:t>sabilidad Civil          180.000,00</w:t>
      </w:r>
      <w:r w:rsidRPr="00C7603E">
        <w:rPr>
          <w:rFonts w:eastAsia="Times New Roman" w:cs="Arial"/>
          <w:sz w:val="18"/>
          <w:szCs w:val="18"/>
          <w:lang w:eastAsia="es-ES"/>
        </w:rPr>
        <w:t xml:space="preserve"> euros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>Relación de Festejos:</w:t>
      </w:r>
    </w:p>
    <w:p w:rsidR="00324F6C" w:rsidRDefault="00324F6C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324F6C" w:rsidRPr="00C7603E" w:rsidRDefault="00324F6C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>(</w:t>
      </w:r>
      <w:r w:rsidRPr="00C7603E">
        <w:rPr>
          <w:rFonts w:eastAsia="Times New Roman" w:cs="Arial"/>
          <w:i/>
          <w:sz w:val="18"/>
          <w:szCs w:val="18"/>
          <w:lang w:eastAsia="es-ES"/>
        </w:rPr>
        <w:t>Día, hora y modalidad de festejo taurino popular</w:t>
      </w:r>
      <w:r w:rsidRPr="00C7603E">
        <w:rPr>
          <w:rFonts w:eastAsia="Times New Roman" w:cs="Arial"/>
          <w:sz w:val="18"/>
          <w:szCs w:val="18"/>
          <w:lang w:eastAsia="es-ES"/>
        </w:rPr>
        <w:t>)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C7603E">
        <w:rPr>
          <w:rFonts w:eastAsia="Times New Roman" w:cs="Arial"/>
          <w:sz w:val="18"/>
          <w:szCs w:val="18"/>
          <w:lang w:eastAsia="es-ES"/>
        </w:rPr>
        <w:t>Se hace constar expresamente que los capitales garantizados que figuran en la póliza son por víctima y no por siniestro.</w:t>
      </w: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es-ES"/>
        </w:rPr>
      </w:pPr>
      <w:r w:rsidRPr="00C7603E">
        <w:rPr>
          <w:rFonts w:eastAsia="Times New Roman" w:cs="Arial"/>
          <w:i/>
          <w:sz w:val="18"/>
          <w:szCs w:val="18"/>
          <w:lang w:eastAsia="es-ES"/>
        </w:rPr>
        <w:t>(Lugar, fecha y firma</w:t>
      </w:r>
      <w:r w:rsidR="003B2EE6" w:rsidRPr="00C7603E">
        <w:rPr>
          <w:rFonts w:eastAsia="Times New Roman" w:cs="Arial"/>
          <w:i/>
          <w:sz w:val="18"/>
          <w:szCs w:val="18"/>
          <w:lang w:eastAsia="es-ES"/>
        </w:rPr>
        <w:t xml:space="preserve"> electrónica</w:t>
      </w:r>
      <w:r w:rsidRPr="00C7603E">
        <w:rPr>
          <w:rFonts w:eastAsia="Times New Roman" w:cs="Arial"/>
          <w:i/>
          <w:sz w:val="18"/>
          <w:szCs w:val="18"/>
          <w:lang w:eastAsia="es-ES"/>
        </w:rPr>
        <w:t xml:space="preserve"> del representante de la compañía aseguradora)</w:t>
      </w:r>
    </w:p>
    <w:p w:rsidR="00A274E6" w:rsidRPr="00C7603E" w:rsidRDefault="00A274E6" w:rsidP="00A274E6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es-ES"/>
        </w:rPr>
      </w:pPr>
    </w:p>
    <w:p w:rsidR="00A274E6" w:rsidRPr="00C7603E" w:rsidRDefault="00A274E6" w:rsidP="00A274E6">
      <w:pPr>
        <w:spacing w:after="0" w:line="240" w:lineRule="auto"/>
        <w:rPr>
          <w:rFonts w:eastAsia="Times New Roman" w:cs="Arial"/>
          <w:sz w:val="18"/>
          <w:szCs w:val="18"/>
          <w:lang w:eastAsia="es-ES"/>
        </w:rPr>
      </w:pPr>
    </w:p>
    <w:p w:rsidR="00A274E6" w:rsidRPr="00A274E6" w:rsidRDefault="00A274E6" w:rsidP="00A274E6">
      <w:pPr>
        <w:autoSpaceDN w:val="0"/>
        <w:spacing w:line="251" w:lineRule="auto"/>
        <w:rPr>
          <w:rFonts w:ascii="Arial" w:eastAsia="Calibri" w:hAnsi="Arial" w:cs="Arial"/>
          <w:sz w:val="18"/>
          <w:szCs w:val="18"/>
        </w:rPr>
      </w:pPr>
    </w:p>
    <w:p w:rsidR="00EA6BAB" w:rsidRPr="007A7CC6" w:rsidRDefault="007B3CD9" w:rsidP="007A7CC6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24.65pt;margin-top:23.1pt;width:451.95pt;height:206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">
            <v:textbox>
              <w:txbxContent>
                <w:p w:rsidR="00334751" w:rsidRDefault="00334751" w:rsidP="00334751">
                  <w:pPr>
                    <w:jc w:val="both"/>
                  </w:pPr>
                  <w:bookmarkStart w:id="0" w:name="_GoBack"/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El responsable del tratamiento de tus datos personales es: Dirección General de Interior y Protección Civil.    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La finalidad de este tratamiento es: -Autorización, gestión, inspección y sanción de Espectáculos Públicos, Actividades Recreativas y Espectáculos Públicos.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La legitimación para realizar el tratamiento de tus datos </w:t>
                  </w:r>
                  <w:r w:rsidR="003B2EE6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se justifica en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: obligación legal para el responsable.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No vamos a comunicar tus datos personales a terceros destinatarios salvo obligación legal.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Se pueden ejercitar los derechos de </w:t>
                  </w:r>
                  <w:hyperlink r:id="rId4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acceso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, </w:t>
                  </w:r>
                  <w:hyperlink r:id="rId5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rectificación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, </w:t>
                  </w:r>
                  <w:hyperlink r:id="rId6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supresión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,</w:t>
                  </w:r>
                  <w:hyperlink r:id="rId7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portabilidad de los datos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, y los de </w:t>
                  </w:r>
                  <w:hyperlink r:id="rId8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limitación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y </w:t>
                  </w:r>
                  <w:hyperlink r:id="rId9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oposición a los tratamientos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, así como a </w:t>
                  </w:r>
                  <w:hyperlink r:id="rId10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no ser objeto de decisiones individuales automatizadas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, a través de la sede electrónica de la Administración de la Comunidad Autónoma de Aragón con los formularios normalizados disponibles.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Puedes obtener información adicional en el Registro de Actividades de Tratamiento del Gobierno de Aragón, en el siguiente enlace </w:t>
                  </w:r>
                  <w:hyperlink r:id="rId11" w:tgtFrame="_blank" w:history="1">
                    <w:r>
                      <w:rPr>
                        <w:rStyle w:val="Hipervnculo"/>
                        <w:rFonts w:ascii="Verdana" w:hAnsi="Verdana"/>
                        <w:color w:val="4567A6"/>
                        <w:sz w:val="18"/>
                        <w:szCs w:val="18"/>
                      </w:rPr>
                      <w:t>https://aplicaciones.aragon.es/notif_lopd_pub/details.action?fileId=567</w:t>
                    </w:r>
                  </w:hyperlink>
                </w:p>
                <w:bookmarkEnd w:id="0"/>
                <w:p w:rsidR="00334751" w:rsidRDefault="00334751" w:rsidP="00334751">
                  <w:pPr>
                    <w:jc w:val="both"/>
                  </w:pPr>
                </w:p>
              </w:txbxContent>
            </v:textbox>
            <w10:wrap type="square" anchorx="margin"/>
          </v:shape>
        </w:pict>
      </w:r>
    </w:p>
    <w:sectPr w:rsidR="00EA6BAB" w:rsidRPr="007A7CC6" w:rsidSect="00C760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6BAB"/>
    <w:rsid w:val="00324F6C"/>
    <w:rsid w:val="00334751"/>
    <w:rsid w:val="003B2EE6"/>
    <w:rsid w:val="0050243B"/>
    <w:rsid w:val="00666F4F"/>
    <w:rsid w:val="007A7CC6"/>
    <w:rsid w:val="007B3CD9"/>
    <w:rsid w:val="008B54EC"/>
    <w:rsid w:val="009E7289"/>
    <w:rsid w:val="00A274E6"/>
    <w:rsid w:val="00A943D0"/>
    <w:rsid w:val="00AD4A39"/>
    <w:rsid w:val="00B3171B"/>
    <w:rsid w:val="00C7546C"/>
    <w:rsid w:val="00C7603E"/>
    <w:rsid w:val="00D13694"/>
    <w:rsid w:val="00E2266D"/>
    <w:rsid w:val="00EA6BAB"/>
    <w:rsid w:val="00F605A6"/>
    <w:rsid w:val="00FB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4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gestion-de-proteccion-de-datos/ejercicio-del-derecho-de-limitac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gestion-de-proteccion-de-datos/ejercicio-del-derecho-a-la-portabilidad-de-los-dat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gestion-de-proteccion-de-datos/ejercicio-del-derecho-de-supresion-derecho-al-olvido" TargetMode="External"/><Relationship Id="rId11" Type="http://schemas.openxmlformats.org/officeDocument/2006/relationships/hyperlink" Target="https://aplicaciones.aragon.es/notif_lopd_pub/details.action?fileId=567" TargetMode="External"/><Relationship Id="rId5" Type="http://schemas.openxmlformats.org/officeDocument/2006/relationships/hyperlink" Target="https://www.aragon.es/tramitador/-/tramite/gestion-de-proteccion-de-datos/ejercicio-del-derecho-de-rectificacion" TargetMode="External"/><Relationship Id="rId10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4" Type="http://schemas.openxmlformats.org/officeDocument/2006/relationships/hyperlink" Target="https://www.aragon.es/tramitador/-/tramite/gestion-de-proteccion-de-datos/ejercicio-del-derecho-de-acceso" TargetMode="External"/><Relationship Id="rId9" Type="http://schemas.openxmlformats.org/officeDocument/2006/relationships/hyperlink" Target="https://www.aragon.es/tramitador/-/tramite/gestion-de-proteccion-de-datos/ejercicio-del-derecho-de-oposi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dcterms:created xsi:type="dcterms:W3CDTF">2023-09-20T08:03:00Z</dcterms:created>
  <dcterms:modified xsi:type="dcterms:W3CDTF">2023-09-21T19:57:00Z</dcterms:modified>
</cp:coreProperties>
</file>